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98" w:rsidRDefault="00000A9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00A98" w:rsidRDefault="00000A98">
      <w:pPr>
        <w:pStyle w:val="ConsPlusNormal"/>
        <w:jc w:val="both"/>
        <w:outlineLvl w:val="0"/>
      </w:pPr>
    </w:p>
    <w:p w:rsidR="00000A98" w:rsidRDefault="00000A98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00A98" w:rsidRDefault="00000A98">
      <w:pPr>
        <w:pStyle w:val="ConsPlusTitle"/>
        <w:jc w:val="both"/>
      </w:pPr>
    </w:p>
    <w:p w:rsidR="00000A98" w:rsidRDefault="00000A98">
      <w:pPr>
        <w:pStyle w:val="ConsPlusTitle"/>
        <w:jc w:val="center"/>
      </w:pPr>
      <w:r>
        <w:t>ПИСЬМО</w:t>
      </w:r>
    </w:p>
    <w:p w:rsidR="00000A98" w:rsidRDefault="00000A98">
      <w:pPr>
        <w:pStyle w:val="ConsPlusTitle"/>
        <w:jc w:val="center"/>
      </w:pPr>
      <w:r>
        <w:t>от 11 апреля 2018 г. N 18-2/10/В-2575</w:t>
      </w:r>
    </w:p>
    <w:p w:rsidR="00000A98" w:rsidRDefault="00000A98">
      <w:pPr>
        <w:pStyle w:val="ConsPlusNormal"/>
        <w:jc w:val="both"/>
      </w:pPr>
    </w:p>
    <w:p w:rsidR="00000A98" w:rsidRDefault="00000A98">
      <w:pPr>
        <w:pStyle w:val="ConsPlusNormal"/>
        <w:ind w:firstLine="540"/>
        <w:jc w:val="both"/>
      </w:pPr>
      <w:r>
        <w:t>Министерство труда и социальной защиты Российской Федерации в рамках оказания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 сообщает следующее.</w:t>
      </w:r>
    </w:p>
    <w:p w:rsidR="00000A98" w:rsidRDefault="00000A98">
      <w:pPr>
        <w:pStyle w:val="ConsPlusNormal"/>
        <w:spacing w:before="220"/>
        <w:ind w:firstLine="540"/>
        <w:jc w:val="both"/>
      </w:pPr>
      <w:r>
        <w:t>Антикоррупционным законодательством Российской Федерации для отдельных категорий лиц установлены запреты:</w:t>
      </w:r>
    </w:p>
    <w:p w:rsidR="00000A98" w:rsidRDefault="00000A98">
      <w:pPr>
        <w:pStyle w:val="ConsPlusNormal"/>
        <w:spacing w:before="220"/>
        <w:ind w:firstLine="540"/>
        <w:jc w:val="both"/>
      </w:pPr>
      <w:r>
        <w:t>- приобретать ценные бумаги в случае, если владение такими ценными бумагами приводит или может привести к конфликту интересов;</w:t>
      </w:r>
    </w:p>
    <w:p w:rsidR="00000A98" w:rsidRDefault="00000A98">
      <w:pPr>
        <w:pStyle w:val="ConsPlusNormal"/>
        <w:spacing w:before="220"/>
        <w:ind w:firstLine="540"/>
        <w:jc w:val="both"/>
      </w:pPr>
      <w:r>
        <w:t>- прямо и косвенно владеть и (или) пользоваться иностранными финансовыми инструментами.</w:t>
      </w:r>
    </w:p>
    <w:p w:rsidR="00000A98" w:rsidRDefault="00000A98">
      <w:pPr>
        <w:pStyle w:val="ConsPlusNormal"/>
        <w:spacing w:before="220"/>
        <w:ind w:firstLine="540"/>
        <w:jc w:val="both"/>
      </w:pPr>
      <w:r>
        <w:t>В целях исключения нарушения указанных запретов при открытии таким лицам индивидуального инвестиционного счета необходимо учитывать следующее.</w:t>
      </w:r>
    </w:p>
    <w:p w:rsidR="00000A98" w:rsidRDefault="00000A98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абзацем первым пункта 1 статьи 10.2-1</w:t>
        </w:r>
      </w:hyperlink>
      <w:r>
        <w:t xml:space="preserve"> Федерального закона от 22 апреля 1996 г. N 39-ФЗ "О рынке ценных бумаг" (далее - Федеральный закон N 39-ФЗ) индивидуальный инвестиционный счет - счет внутреннего учета, который предназначен для обособленного учета денежных средств, ценных бумаг клиента - физического лица, обязательств по договорам, заключенным за счет указанного клиента, и который открывается и ведется в соответствии со </w:t>
      </w:r>
      <w:hyperlink r:id="rId6" w:history="1">
        <w:r>
          <w:rPr>
            <w:color w:val="0000FF"/>
          </w:rPr>
          <w:t>статьей 10.2-1</w:t>
        </w:r>
      </w:hyperlink>
      <w:r>
        <w:t xml:space="preserve"> Федерального закона N 39-ФЗ.</w:t>
      </w:r>
    </w:p>
    <w:p w:rsidR="00000A98" w:rsidRDefault="00000A98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7" w:history="1">
        <w:r>
          <w:rPr>
            <w:color w:val="0000FF"/>
          </w:rPr>
          <w:t>абзацу второму пункта 1 статьи 10.2-1</w:t>
        </w:r>
      </w:hyperlink>
      <w:r>
        <w:t xml:space="preserve"> Федерального закона N 39-ФЗ индивидуальный инвестиционный счет открывается и ведется брокером или управляющим на основании отдельного договора на брокерское обслуживание или договора доверительного управления ценными бумагами, которые предусматривают открытие и ведение индивидуального инвестиционного счета (далее также - договор на ведение индивидуального инвестиционного счета).</w:t>
      </w:r>
    </w:p>
    <w:p w:rsidR="00000A98" w:rsidRDefault="00000A98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Пунктом 8 статьи 10.2-1</w:t>
        </w:r>
      </w:hyperlink>
      <w:r>
        <w:t xml:space="preserve"> Федерального закона N 39-ФЗ предусмотрено, что по договору на ведение индивидуального инвестиционного счета допускается передача клиентом профессиональному участнику рынка ценных бумаг только денежных средств, за исключением случая прекращения одного договора на ведение индивидуального инвестиционного и заключения нового договора (</w:t>
      </w:r>
      <w:hyperlink r:id="rId9" w:history="1">
        <w:r>
          <w:rPr>
            <w:color w:val="0000FF"/>
          </w:rPr>
          <w:t>пункт 4 статьи 10.2-1</w:t>
        </w:r>
      </w:hyperlink>
      <w:r>
        <w:t xml:space="preserve"> Федерального закона N 39-ФЗ).</w:t>
      </w:r>
    </w:p>
    <w:p w:rsidR="00000A98" w:rsidRDefault="00000A98">
      <w:pPr>
        <w:pStyle w:val="ConsPlusNormal"/>
        <w:spacing w:before="220"/>
        <w:ind w:firstLine="540"/>
        <w:jc w:val="both"/>
      </w:pPr>
      <w:r>
        <w:t>Договор на ведение индивидуального инвестиционного счета предусматривает, что приобретаемые ценные бумаги становятся собственностью клиента.</w:t>
      </w:r>
    </w:p>
    <w:p w:rsidR="00000A98" w:rsidRDefault="00000A98">
      <w:pPr>
        <w:pStyle w:val="ConsPlusNormal"/>
        <w:spacing w:before="220"/>
        <w:ind w:firstLine="540"/>
        <w:jc w:val="both"/>
      </w:pPr>
      <w:r>
        <w:t xml:space="preserve">Одновременно стоит учитывать, что абзац второй </w:t>
      </w:r>
      <w:hyperlink r:id="rId10" w:history="1">
        <w:r>
          <w:rPr>
            <w:color w:val="0000FF"/>
          </w:rPr>
          <w:t>пункта 9 статьи 10.2-1</w:t>
        </w:r>
      </w:hyperlink>
      <w:r>
        <w:t xml:space="preserve"> Федерального закона N 39-ФЗ допускает возможность приобретения на организованных торгах российского организатора торговли ценных бумаг иностранных эмитентов за счет имущества, учитываемого на индивидуальном инвестиционном счете.</w:t>
      </w:r>
    </w:p>
    <w:p w:rsidR="00000A98" w:rsidRDefault="00000A98">
      <w:pPr>
        <w:pStyle w:val="ConsPlusNormal"/>
        <w:spacing w:before="220"/>
        <w:ind w:firstLine="540"/>
        <w:jc w:val="both"/>
      </w:pPr>
      <w:r>
        <w:t xml:space="preserve">В этой связи лицам, на которых антикоррупционным законодательством Российской Федерации распространяются вышеуказанные запреты, при заключении договоров на ведение индивидуального инвестиционного счета необходимо исключить приобретение </w:t>
      </w:r>
      <w:r>
        <w:lastRenderedPageBreak/>
        <w:t>профессиональным участником рынка ценных бумаг в интересах таких лиц ценных бумаг:</w:t>
      </w:r>
    </w:p>
    <w:p w:rsidR="00000A98" w:rsidRDefault="00000A98">
      <w:pPr>
        <w:pStyle w:val="ConsPlusNormal"/>
        <w:spacing w:before="220"/>
        <w:ind w:firstLine="540"/>
        <w:jc w:val="both"/>
      </w:pPr>
      <w:r>
        <w:t>владение которыми приводит или может привести к конфликту интересов;</w:t>
      </w:r>
    </w:p>
    <w:p w:rsidR="00000A98" w:rsidRDefault="00000A98">
      <w:pPr>
        <w:pStyle w:val="ConsPlusNormal"/>
        <w:spacing w:before="220"/>
        <w:ind w:firstLine="540"/>
        <w:jc w:val="both"/>
      </w:pPr>
      <w:r>
        <w:t>являющихся иностранными финансовыми инструментами.</w:t>
      </w:r>
    </w:p>
    <w:p w:rsidR="00000A98" w:rsidRDefault="00000A98">
      <w:pPr>
        <w:pStyle w:val="ConsPlusNormal"/>
        <w:spacing w:before="220"/>
        <w:ind w:firstLine="540"/>
        <w:jc w:val="both"/>
      </w:pPr>
      <w:r>
        <w:t xml:space="preserve">Дополнительно отмечаем, что в случае представления сведений о доходах, расходах, об имуществе и обязательствах имущественного характера по </w:t>
      </w:r>
      <w:hyperlink r:id="rId11" w:history="1">
        <w:r>
          <w:rPr>
            <w:color w:val="0000FF"/>
          </w:rPr>
          <w:t>форме</w:t>
        </w:r>
      </w:hyperlink>
      <w:r>
        <w:t xml:space="preserve"> справки,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(далее - справка), сведения об открытом индивидуальном инвестиционном счете указываются в </w:t>
      </w:r>
      <w:hyperlink r:id="rId12" w:history="1">
        <w:r>
          <w:rPr>
            <w:color w:val="0000FF"/>
          </w:rPr>
          <w:t>разделе 4</w:t>
        </w:r>
      </w:hyperlink>
      <w:r>
        <w:t xml:space="preserve"> справки.</w:t>
      </w:r>
    </w:p>
    <w:p w:rsidR="00000A98" w:rsidRDefault="00000A98">
      <w:pPr>
        <w:pStyle w:val="ConsPlusNormal"/>
        <w:spacing w:before="220"/>
        <w:ind w:firstLine="540"/>
        <w:jc w:val="both"/>
      </w:pPr>
      <w:r>
        <w:t xml:space="preserve">Также в </w:t>
      </w:r>
      <w:hyperlink r:id="rId13" w:history="1">
        <w:r>
          <w:rPr>
            <w:color w:val="0000FF"/>
          </w:rPr>
          <w:t>разделе 5</w:t>
        </w:r>
      </w:hyperlink>
      <w:r>
        <w:t xml:space="preserve"> справки подлежат отражению сведения об имеющихся на отчетную дату ценных бумагах.</w:t>
      </w:r>
    </w:p>
    <w:p w:rsidR="00000A98" w:rsidRDefault="00000A98">
      <w:pPr>
        <w:pStyle w:val="ConsPlusNormal"/>
        <w:spacing w:before="220"/>
        <w:ind w:firstLine="540"/>
        <w:jc w:val="both"/>
      </w:pPr>
      <w:r>
        <w:t xml:space="preserve">Одновременно указываем, что предусмотренные </w:t>
      </w:r>
      <w:hyperlink r:id="rId14" w:history="1">
        <w:r>
          <w:rPr>
            <w:color w:val="0000FF"/>
          </w:rPr>
          <w:t>подпунктами 2</w:t>
        </w:r>
      </w:hyperlink>
      <w:r>
        <w:t xml:space="preserve"> и </w:t>
      </w:r>
      <w:hyperlink r:id="rId15" w:history="1">
        <w:r>
          <w:rPr>
            <w:color w:val="0000FF"/>
          </w:rPr>
          <w:t>3 пункта 1 статьи 219.1</w:t>
        </w:r>
      </w:hyperlink>
      <w:r>
        <w:t xml:space="preserve"> Налогового кодекса Российской Федерации инвестиционные налоговые вычеты не подлежат отражению в </w:t>
      </w:r>
      <w:hyperlink r:id="rId16" w:history="1">
        <w:r>
          <w:rPr>
            <w:color w:val="0000FF"/>
          </w:rPr>
          <w:t>разделе 1</w:t>
        </w:r>
      </w:hyperlink>
      <w:r>
        <w:t xml:space="preserve"> справки.</w:t>
      </w:r>
    </w:p>
    <w:p w:rsidR="00000A98" w:rsidRDefault="00000A98">
      <w:pPr>
        <w:pStyle w:val="ConsPlusNormal"/>
        <w:spacing w:before="220"/>
        <w:ind w:firstLine="540"/>
        <w:jc w:val="both"/>
      </w:pPr>
      <w:r>
        <w:t>Просим довести указанную информацию до сведения заинтересованных лиц и учитывать при применении законодательства о противодействии коррупции.</w:t>
      </w:r>
    </w:p>
    <w:p w:rsidR="00000A98" w:rsidRDefault="00000A98">
      <w:pPr>
        <w:pStyle w:val="ConsPlusNormal"/>
        <w:jc w:val="both"/>
      </w:pPr>
    </w:p>
    <w:p w:rsidR="00000A98" w:rsidRDefault="00000A98">
      <w:pPr>
        <w:pStyle w:val="ConsPlusNormal"/>
        <w:jc w:val="right"/>
      </w:pPr>
      <w:r>
        <w:t>А.А.ЧЕРКАСОВ</w:t>
      </w:r>
    </w:p>
    <w:p w:rsidR="00000A98" w:rsidRDefault="00000A98">
      <w:pPr>
        <w:pStyle w:val="ConsPlusNormal"/>
        <w:jc w:val="both"/>
      </w:pPr>
    </w:p>
    <w:p w:rsidR="00000A98" w:rsidRDefault="00000A98">
      <w:pPr>
        <w:pStyle w:val="ConsPlusNormal"/>
        <w:jc w:val="both"/>
      </w:pPr>
    </w:p>
    <w:p w:rsidR="00000A98" w:rsidRDefault="00000A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14C8" w:rsidRDefault="00000A98"/>
    <w:sectPr w:rsidR="00CC14C8" w:rsidSect="000E2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0A98"/>
    <w:rsid w:val="000002F6"/>
    <w:rsid w:val="00000A98"/>
    <w:rsid w:val="000D7DE2"/>
    <w:rsid w:val="0017606B"/>
    <w:rsid w:val="00C1439A"/>
    <w:rsid w:val="00D53B75"/>
    <w:rsid w:val="00D84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0002F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envelope return"/>
    <w:basedOn w:val="a"/>
    <w:uiPriority w:val="99"/>
    <w:semiHidden/>
    <w:unhideWhenUsed/>
    <w:rsid w:val="00C1439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ConsPlusNormal">
    <w:name w:val="ConsPlusNormal"/>
    <w:rsid w:val="00000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0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0A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64D1758204AAEC8CD565993B1EF81E5ADF826A19CF756F29D5C5E34CFEE8725978A90139E369F79A37D9DEEBDD4AD47E7574FE9341D362O9F3K" TargetMode="External"/><Relationship Id="rId13" Type="http://schemas.openxmlformats.org/officeDocument/2006/relationships/hyperlink" Target="consultantplus://offline/ref=3864D1758204AAEC8CD565993B1EF81E5BD88B6419CC756F29D5C5E34CFEE8725978A90139E26EFD9837D9DEEBDD4AD47E7574FE9341D362O9F3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64D1758204AAEC8CD565993B1EF81E5ADF826A19CF756F29D5C5E34CFEE8725978A90131E16CFFCD6DC9DAA2894FCB766A6AFD8D42ODFAK" TargetMode="External"/><Relationship Id="rId12" Type="http://schemas.openxmlformats.org/officeDocument/2006/relationships/hyperlink" Target="consultantplus://offline/ref=3864D1758204AAEC8CD565993B1EF81E5BD88B6419CC756F29D5C5E34CFEE8725978A90139E26EF39C37D9DEEBDD4AD47E7574FE9341D362O9F3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864D1758204AAEC8CD565993B1EF81E5BD88B6419CC756F29D5C5E34CFEE8725978A90139E26FF09037D9DEEBDD4AD47E7574FE9341D362O9F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64D1758204AAEC8CD565993B1EF81E5ADF826A19CF756F29D5C5E34CFEE8725978A90131E16EFFCD6DC9DAA2894FCB766A6AFD8D42ODFAK" TargetMode="External"/><Relationship Id="rId11" Type="http://schemas.openxmlformats.org/officeDocument/2006/relationships/hyperlink" Target="consultantplus://offline/ref=3864D1758204AAEC8CD565993B1EF81E5BD88B6419CC756F29D5C5E34CFEE8725978A90139E26FF09C37D9DEEBDD4AD47E7574FE9341D362O9F3K" TargetMode="External"/><Relationship Id="rId5" Type="http://schemas.openxmlformats.org/officeDocument/2006/relationships/hyperlink" Target="consultantplus://offline/ref=3864D1758204AAEC8CD565993B1EF81E5ADF826A19CF756F29D5C5E34CFEE8725978A90131E16DFFCD6DC9DAA2894FCB766A6AFD8D42ODFAK" TargetMode="External"/><Relationship Id="rId15" Type="http://schemas.openxmlformats.org/officeDocument/2006/relationships/hyperlink" Target="consultantplus://offline/ref=3864D1758204AAEC8CD565993B1EF81E5ADE866F12C1756F29D5C5E34CFEE8725978A9013BE16BF49268DCCBFA8546DD686B75E18F43D2O6FAK" TargetMode="External"/><Relationship Id="rId10" Type="http://schemas.openxmlformats.org/officeDocument/2006/relationships/hyperlink" Target="consultantplus://offline/ref=3864D1758204AAEC8CD565993B1EF81E5ADF826A19CF756F29D5C5E34CFEE8725978A90131E66DFFCD6DC9DAA2894FCB766A6AFD8D42ODFA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864D1758204AAEC8CD565993B1EF81E5ADF826A19CF756F29D5C5E34CFEE8725978A90131E168FFCD6DC9DAA2894FCB766A6AFD8D42ODFAK" TargetMode="External"/><Relationship Id="rId14" Type="http://schemas.openxmlformats.org/officeDocument/2006/relationships/hyperlink" Target="consultantplus://offline/ref=3864D1758204AAEC8CD565993B1EF81E5ADE866F12C1756F29D5C5E34CFEE8725978A9093CE66CFFCD6DC9DAA2894FCB766A6AFD8D42ODF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5142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2019-01-18T10:05:00Z</dcterms:created>
  <dcterms:modified xsi:type="dcterms:W3CDTF">2019-01-18T10:06:00Z</dcterms:modified>
</cp:coreProperties>
</file>